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77" w:rsidRDefault="00AB6CB4">
      <w:pPr>
        <w:spacing w:after="17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01077" w:rsidRDefault="00AB6CB4">
      <w:pPr>
        <w:spacing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001077" w:rsidRDefault="00AB6CB4">
      <w:pPr>
        <w:spacing w:after="84"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001077" w:rsidRDefault="00AB6CB4">
      <w:pPr>
        <w:spacing w:after="22" w:line="259" w:lineRule="auto"/>
        <w:ind w:right="0" w:firstLine="0"/>
        <w:jc w:val="right"/>
      </w:pPr>
      <w:r>
        <w:rPr>
          <w:sz w:val="26"/>
        </w:rPr>
        <w:t xml:space="preserve"> </w:t>
      </w:r>
    </w:p>
    <w:p w:rsidR="00001077" w:rsidRDefault="00AB6CB4">
      <w:pPr>
        <w:spacing w:after="0" w:line="259" w:lineRule="auto"/>
        <w:ind w:right="0" w:firstLine="0"/>
        <w:jc w:val="right"/>
      </w:pPr>
      <w:r>
        <w:rPr>
          <w:sz w:val="26"/>
        </w:rPr>
        <w:t xml:space="preserve"> </w:t>
      </w:r>
    </w:p>
    <w:p w:rsidR="00001077" w:rsidRDefault="00AB6CB4">
      <w:pPr>
        <w:spacing w:after="92"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001077" w:rsidRDefault="00AB6CB4">
      <w:pPr>
        <w:spacing w:after="0" w:line="259" w:lineRule="auto"/>
        <w:ind w:right="2" w:firstLine="0"/>
        <w:jc w:val="center"/>
      </w:pPr>
      <w:r>
        <w:rPr>
          <w:b/>
          <w:sz w:val="26"/>
        </w:rPr>
        <w:t xml:space="preserve"> </w:t>
      </w:r>
    </w:p>
    <w:p w:rsidR="00001077" w:rsidRDefault="00AB6CB4">
      <w:pPr>
        <w:spacing w:after="49" w:line="259" w:lineRule="auto"/>
        <w:ind w:right="2" w:firstLine="0"/>
        <w:jc w:val="center"/>
      </w:pPr>
      <w:r>
        <w:rPr>
          <w:b/>
          <w:sz w:val="26"/>
        </w:rPr>
        <w:t xml:space="preserve"> </w:t>
      </w:r>
    </w:p>
    <w:p w:rsidR="00001077" w:rsidRDefault="00001077">
      <w:pPr>
        <w:spacing w:after="0" w:line="259" w:lineRule="auto"/>
        <w:ind w:left="3" w:right="0" w:firstLine="0"/>
        <w:jc w:val="center"/>
      </w:pPr>
    </w:p>
    <w:p w:rsidR="00001077" w:rsidRDefault="00AB6CB4">
      <w:pPr>
        <w:spacing w:after="29" w:line="216" w:lineRule="auto"/>
        <w:ind w:left="4705" w:right="3327" w:hanging="1374"/>
        <w:jc w:val="left"/>
      </w:pPr>
      <w:r>
        <w:rPr>
          <w:b/>
        </w:rPr>
        <w:t xml:space="preserve"> 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75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36" w:line="259" w:lineRule="auto"/>
        <w:ind w:left="10" w:right="72" w:hanging="10"/>
        <w:jc w:val="center"/>
      </w:pPr>
      <w:r>
        <w:rPr>
          <w:b/>
          <w:sz w:val="32"/>
        </w:rPr>
        <w:t xml:space="preserve">ИНСТРУКЦИЯ </w:t>
      </w:r>
    </w:p>
    <w:p w:rsidR="00001077" w:rsidRDefault="00AB6CB4">
      <w:pPr>
        <w:spacing w:after="36" w:line="259" w:lineRule="auto"/>
        <w:ind w:left="10" w:right="73" w:hanging="10"/>
        <w:jc w:val="center"/>
      </w:pPr>
      <w:r>
        <w:rPr>
          <w:b/>
          <w:sz w:val="32"/>
        </w:rPr>
        <w:t xml:space="preserve">по действиям руководителей учреждений и организаций  </w:t>
      </w:r>
    </w:p>
    <w:p w:rsidR="00001077" w:rsidRDefault="00AB6CB4">
      <w:pPr>
        <w:spacing w:after="0" w:line="259" w:lineRule="auto"/>
        <w:ind w:left="10" w:right="73" w:hanging="10"/>
        <w:jc w:val="center"/>
      </w:pPr>
      <w:r>
        <w:rPr>
          <w:b/>
          <w:sz w:val="32"/>
        </w:rPr>
        <w:t xml:space="preserve">при установлении уровней террористической опасности </w:t>
      </w:r>
    </w:p>
    <w:p w:rsidR="00001077" w:rsidRDefault="00AB6CB4">
      <w:pPr>
        <w:spacing w:after="0" w:line="259" w:lineRule="auto"/>
        <w:ind w:left="13" w:right="0" w:firstLine="0"/>
        <w:jc w:val="center"/>
      </w:pPr>
      <w:r>
        <w:rPr>
          <w:b/>
          <w:sz w:val="32"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AB6CB4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001077" w:rsidRDefault="00AB6CB4">
      <w:pPr>
        <w:spacing w:after="28" w:line="259" w:lineRule="auto"/>
        <w:ind w:left="3" w:right="0" w:firstLine="0"/>
        <w:jc w:val="center"/>
      </w:pPr>
      <w:r>
        <w:rPr>
          <w:b/>
        </w:rPr>
        <w:t xml:space="preserve"> </w:t>
      </w:r>
    </w:p>
    <w:p w:rsidR="00001077" w:rsidRDefault="00001077">
      <w:pPr>
        <w:spacing w:after="0" w:line="259" w:lineRule="auto"/>
        <w:ind w:left="713" w:right="0" w:firstLine="0"/>
        <w:jc w:val="center"/>
      </w:pPr>
    </w:p>
    <w:p w:rsidR="00AB6CB4" w:rsidRDefault="00AB6CB4">
      <w:pPr>
        <w:ind w:left="-15" w:right="55"/>
      </w:pPr>
    </w:p>
    <w:p w:rsidR="00AB6CB4" w:rsidRDefault="00AB6CB4">
      <w:pPr>
        <w:ind w:left="-15" w:right="55"/>
      </w:pPr>
    </w:p>
    <w:p w:rsidR="00AB6CB4" w:rsidRDefault="00AB6CB4">
      <w:pPr>
        <w:ind w:left="-15" w:right="55"/>
      </w:pPr>
    </w:p>
    <w:p w:rsidR="00AB6CB4" w:rsidRDefault="00AB6CB4">
      <w:pPr>
        <w:ind w:left="-15" w:right="55"/>
      </w:pPr>
    </w:p>
    <w:p w:rsidR="00AB6CB4" w:rsidRDefault="00AB6CB4">
      <w:pPr>
        <w:ind w:left="-15" w:right="55"/>
      </w:pPr>
    </w:p>
    <w:p w:rsidR="00AB6CB4" w:rsidRDefault="00AB6CB4">
      <w:pPr>
        <w:ind w:left="-15" w:right="55"/>
      </w:pPr>
    </w:p>
    <w:p w:rsidR="00AB6CB4" w:rsidRDefault="00AB6CB4">
      <w:pPr>
        <w:ind w:left="-15" w:right="55"/>
      </w:pPr>
    </w:p>
    <w:p w:rsidR="00001077" w:rsidRDefault="00AB6CB4">
      <w:pPr>
        <w:ind w:left="-15" w:right="55"/>
      </w:pPr>
      <w:r>
        <w:lastRenderedPageBreak/>
        <w:t xml:space="preserve">В соответствии с требованиями 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</w:t>
      </w:r>
      <w:r>
        <w:t xml:space="preserve">руководителям организаций и учреждений, при </w:t>
      </w:r>
      <w:proofErr w:type="gramStart"/>
      <w:r>
        <w:t>установлении  уровней</w:t>
      </w:r>
      <w:proofErr w:type="gramEnd"/>
      <w:r>
        <w:t xml:space="preserve"> террористической опасности, необходимо выполнить следующие мероприятия: </w:t>
      </w:r>
    </w:p>
    <w:p w:rsidR="00001077" w:rsidRDefault="00AB6CB4">
      <w:pPr>
        <w:spacing w:after="1" w:line="282" w:lineRule="auto"/>
        <w:ind w:left="-15" w:right="0"/>
        <w:jc w:val="left"/>
      </w:pPr>
      <w:r>
        <w:rPr>
          <w:b/>
        </w:rPr>
        <w:t>I. При установлении повышенного («синего») уровня террористической опасности:</w:t>
      </w:r>
      <w:r>
        <w:t xml:space="preserve"> </w:t>
      </w:r>
    </w:p>
    <w:p w:rsidR="00001077" w:rsidRDefault="00AB6CB4">
      <w:pPr>
        <w:ind w:left="-15" w:right="55"/>
      </w:pPr>
      <w:r>
        <w:t>Информировать сотрудников и охрану орг</w:t>
      </w:r>
      <w:r>
        <w:t xml:space="preserve">анизации об установлении повышенного («синего») уровня террористической опасности. Провести дополнительные инструктажи по порядку действий при угрозе совершения или совершении террористического акта (в том числе по действиям при обнаружении подозрительных </w:t>
      </w:r>
      <w:r>
        <w:t xml:space="preserve">предметов). </w:t>
      </w:r>
    </w:p>
    <w:p w:rsidR="00001077" w:rsidRDefault="00AB6CB4">
      <w:pPr>
        <w:ind w:left="-15" w:right="55"/>
      </w:pPr>
      <w:r>
        <w:t xml:space="preserve">Провести проверки технологического и иного оборудования, а также усилить осмотр прилегающей к зданию территории (каждые 2 часа), на которой находится организация, обращая особое внимание на уязвимые критические элементы и потенциально опасные </w:t>
      </w:r>
      <w:r>
        <w:t xml:space="preserve">участки, места хранения </w:t>
      </w:r>
      <w:proofErr w:type="spellStart"/>
      <w:r>
        <w:t>пожаро</w:t>
      </w:r>
      <w:proofErr w:type="spellEnd"/>
      <w:r>
        <w:t>/взрывоопасных материалов, в целях выявления возможных мест закладки взрывных устройств. При обнаружении на территории объекта, подозрительных предметов, которые могут быть использованы как взрывные устройства, не трогать и не</w:t>
      </w:r>
      <w:r>
        <w:t xml:space="preserve"> вскрывать их. Незамедлительно сообщить о находке в правоохранительные органы. Обеспечить оцепление подходов к обнаруженному предмету на расстоянии не менее 100 метров. </w:t>
      </w:r>
    </w:p>
    <w:p w:rsidR="00001077" w:rsidRDefault="00AB6CB4">
      <w:pPr>
        <w:ind w:left="-15" w:right="55"/>
      </w:pPr>
      <w:r>
        <w:t>Ужесточить пропускной режим, досмотровые мероприятия сотрудников организаций, посетите</w:t>
      </w:r>
      <w:r>
        <w:t xml:space="preserve">лей, транспорта. В случае противоправного проникновения в здание организации неизвестных лиц, незамедлительно информировать об этом правоохранительные органы. </w:t>
      </w:r>
    </w:p>
    <w:p w:rsidR="00001077" w:rsidRDefault="00AB6CB4">
      <w:pPr>
        <w:ind w:left="-15" w:right="55"/>
      </w:pPr>
      <w:r>
        <w:t>Следить за дальнейшей информацией. При отмене (изменении) уровня террористической опасности, инф</w:t>
      </w:r>
      <w:r>
        <w:t xml:space="preserve">ормировать об этом сотрудников и охрану организации. </w:t>
      </w:r>
    </w:p>
    <w:p w:rsidR="00001077" w:rsidRDefault="00AB6CB4">
      <w:pPr>
        <w:spacing w:after="1" w:line="282" w:lineRule="auto"/>
        <w:ind w:left="-15" w:right="0"/>
        <w:jc w:val="left"/>
      </w:pPr>
      <w:r>
        <w:rPr>
          <w:b/>
        </w:rPr>
        <w:t>II. При установлении высокого («желтого») уровня террористической опасности:</w:t>
      </w:r>
      <w:r>
        <w:t xml:space="preserve"> </w:t>
      </w:r>
    </w:p>
    <w:p w:rsidR="00001077" w:rsidRDefault="00AB6CB4">
      <w:pPr>
        <w:ind w:left="-15" w:right="55"/>
      </w:pPr>
      <w:r>
        <w:t xml:space="preserve">Выполнять мероприятия, предусмотренные при установлении повышенного («синего») уровня террористической опасности. </w:t>
      </w:r>
    </w:p>
    <w:p w:rsidR="00001077" w:rsidRDefault="00AB6CB4">
      <w:pPr>
        <w:ind w:left="-15" w:right="55"/>
      </w:pPr>
      <w:r>
        <w:t xml:space="preserve">Уточнить </w:t>
      </w:r>
      <w:r>
        <w:t xml:space="preserve">расчет имеющихся сил и средств, предназначенных для ликвидации последствий террористического акта или </w:t>
      </w:r>
      <w:proofErr w:type="gramStart"/>
      <w:r>
        <w:t>иного чрезвычайного происшествия</w:t>
      </w:r>
      <w:proofErr w:type="gramEnd"/>
      <w:r>
        <w:t xml:space="preserve"> связанного с ним, а также технических средств и специального оборудования для проведения спасательных работ. </w:t>
      </w:r>
    </w:p>
    <w:p w:rsidR="00001077" w:rsidRDefault="00AB6CB4">
      <w:pPr>
        <w:ind w:left="-15" w:right="55"/>
      </w:pPr>
      <w:r>
        <w:t>Проверить г</w:t>
      </w:r>
      <w:r>
        <w:t xml:space="preserve">отовность сотрудников организации, осуществляющих функции по локализации кризисных ситуаций и отработать их совместные действия по пресечению террористического акта и спасению людей. </w:t>
      </w:r>
    </w:p>
    <w:p w:rsidR="00001077" w:rsidRDefault="00AB6CB4">
      <w:pPr>
        <w:ind w:left="-15" w:right="55"/>
      </w:pPr>
      <w:r>
        <w:lastRenderedPageBreak/>
        <w:t>Провести дополнительные тренировки среди сотрудников организации по прак</w:t>
      </w:r>
      <w:r>
        <w:t xml:space="preserve">тическому применению сил и средств, привлекаемых в случае возникновения угрозы террористического акта или чрезвычайного происшествия. </w:t>
      </w:r>
    </w:p>
    <w:p w:rsidR="00001077" w:rsidRDefault="00AB6CB4">
      <w:pPr>
        <w:ind w:left="-15" w:right="55"/>
      </w:pPr>
      <w:r>
        <w:t xml:space="preserve">Определить возможные маршруты эвакуации людей в случае возникновения </w:t>
      </w:r>
      <w:proofErr w:type="gramStart"/>
      <w:r>
        <w:t>каких либо</w:t>
      </w:r>
      <w:proofErr w:type="gramEnd"/>
      <w:r>
        <w:t xml:space="preserve"> чрезвычайный ситуаций. </w:t>
      </w:r>
    </w:p>
    <w:p w:rsidR="00001077" w:rsidRDefault="00AB6CB4">
      <w:pPr>
        <w:ind w:left="-15" w:right="55"/>
      </w:pPr>
      <w:r>
        <w:t>Определить места,</w:t>
      </w:r>
      <w:r>
        <w:t xml:space="preserve"> пригодные для временного размещения сотрудников организации, эвакуированных с объекта в случае введения правового режима контртеррористической операции. </w:t>
      </w:r>
    </w:p>
    <w:p w:rsidR="00001077" w:rsidRDefault="00AB6CB4">
      <w:pPr>
        <w:spacing w:after="1" w:line="282" w:lineRule="auto"/>
        <w:ind w:left="-15" w:right="0"/>
        <w:jc w:val="left"/>
      </w:pPr>
      <w:r>
        <w:rPr>
          <w:b/>
        </w:rPr>
        <w:t>III. При установлении критического («красного») уровня террористической опасности:</w:t>
      </w:r>
      <w:r>
        <w:t xml:space="preserve"> </w:t>
      </w:r>
    </w:p>
    <w:p w:rsidR="00001077" w:rsidRDefault="00AB6CB4">
      <w:pPr>
        <w:ind w:left="-15" w:right="55"/>
      </w:pPr>
      <w:r>
        <w:t>Выполнять меропри</w:t>
      </w:r>
      <w:r>
        <w:t xml:space="preserve">ятия, предусмотренные при введении повышенного («синего») и высокого («желтого») уровней террористической опасности. </w:t>
      </w:r>
    </w:p>
    <w:p w:rsidR="00001077" w:rsidRDefault="00AB6CB4">
      <w:pPr>
        <w:ind w:left="-15" w:right="55"/>
      </w:pPr>
      <w:r>
        <w:t xml:space="preserve">Усилить охрану уязвимых критических элементов и потенциально опасных участков. </w:t>
      </w:r>
    </w:p>
    <w:p w:rsidR="00001077" w:rsidRDefault="00AB6CB4">
      <w:pPr>
        <w:ind w:left="-15" w:right="55"/>
      </w:pPr>
      <w:r>
        <w:t>Принять неотложные меры по спасению людей, охране имуществ</w:t>
      </w:r>
      <w:r>
        <w:t xml:space="preserve">а, оставшегося без присмотра, содействовать бесперебойной работе спасательных служб. </w:t>
      </w:r>
    </w:p>
    <w:p w:rsidR="00001077" w:rsidRDefault="00AB6CB4">
      <w:pPr>
        <w:ind w:left="-15" w:right="55"/>
      </w:pPr>
      <w:r>
        <w:t xml:space="preserve">Создать пункт временного размещения людей, удаленных с отдельных участков местности и объектов, в случае введения правового режима КТО. </w:t>
      </w:r>
    </w:p>
    <w:p w:rsidR="00001077" w:rsidRDefault="00AB6CB4">
      <w:pPr>
        <w:ind w:left="-15" w:right="55"/>
      </w:pPr>
      <w:r>
        <w:t>Привести в состояние готовности и</w:t>
      </w:r>
      <w:r>
        <w:t xml:space="preserve">меющиеся транспортные средства для эвакуации людей. </w:t>
      </w:r>
    </w:p>
    <w:p w:rsidR="00001077" w:rsidRDefault="00AB6CB4">
      <w:pPr>
        <w:ind w:left="-15" w:right="55"/>
      </w:pPr>
      <w:r>
        <w:t xml:space="preserve">Обеспечить эвакуацию персонала с объекта в случае введения на нем режима контртеррористической операции. </w:t>
      </w:r>
    </w:p>
    <w:p w:rsidR="00001077" w:rsidRDefault="00AB6CB4">
      <w:pPr>
        <w:ind w:left="-15" w:right="55"/>
      </w:pPr>
      <w:r>
        <w:t>Содействовать приведению в состояние готовности группировки сил и средств, созданной для проведен</w:t>
      </w:r>
      <w:r>
        <w:t xml:space="preserve">ия контртеррористической операции. </w:t>
      </w:r>
    </w:p>
    <w:p w:rsidR="00001077" w:rsidRDefault="00AB6CB4">
      <w:pPr>
        <w:spacing w:after="3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01077" w:rsidRDefault="00AB6CB4">
      <w:pPr>
        <w:spacing w:after="18" w:line="259" w:lineRule="auto"/>
        <w:ind w:left="708" w:right="0" w:firstLine="0"/>
        <w:jc w:val="left"/>
      </w:pPr>
      <w:r>
        <w:rPr>
          <w:b/>
          <w:i/>
        </w:rPr>
        <w:t>Уровни террористической опасности:</w:t>
      </w:r>
      <w:r>
        <w:rPr>
          <w:i/>
        </w:rPr>
        <w:t xml:space="preserve"> </w:t>
      </w:r>
    </w:p>
    <w:p w:rsidR="00001077" w:rsidRDefault="00AB6CB4">
      <w:pPr>
        <w:spacing w:after="11"/>
        <w:ind w:left="-15" w:right="50"/>
      </w:pPr>
      <w:r>
        <w:rPr>
          <w:i/>
        </w:rPr>
        <w:t xml:space="preserve">-повышенный («синий»): при наличии требующей подтверждения информации о реальной возможности совершения террористического акта; </w:t>
      </w:r>
    </w:p>
    <w:p w:rsidR="00001077" w:rsidRDefault="00AB6CB4">
      <w:pPr>
        <w:spacing w:after="11"/>
        <w:ind w:left="-15" w:right="50"/>
      </w:pPr>
      <w:r>
        <w:rPr>
          <w:i/>
        </w:rPr>
        <w:t xml:space="preserve">-высокий («желтый»): </w:t>
      </w:r>
      <w:r>
        <w:rPr>
          <w:i/>
        </w:rPr>
        <w:t xml:space="preserve">при наличии подтвержденной информации о реальной возможности совершения террористического акта; </w:t>
      </w:r>
    </w:p>
    <w:p w:rsidR="00001077" w:rsidRDefault="00AB6CB4">
      <w:pPr>
        <w:spacing w:after="11"/>
        <w:ind w:left="-15" w:right="50"/>
      </w:pPr>
      <w:r>
        <w:rPr>
          <w:i/>
        </w:rPr>
        <w:t>-критический («красный»): при наличии информации о совершенном террористическом акте либо о совершении действий, создающих непосредственную угрозу террористиче</w:t>
      </w:r>
      <w:r>
        <w:rPr>
          <w:i/>
        </w:rPr>
        <w:t xml:space="preserve">ского акта. </w:t>
      </w:r>
    </w:p>
    <w:p w:rsidR="00001077" w:rsidRDefault="00AB6CB4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001077" w:rsidRDefault="00AB6CB4">
      <w:pPr>
        <w:spacing w:after="81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001077" w:rsidRDefault="00001077">
      <w:pPr>
        <w:spacing w:after="0" w:line="259" w:lineRule="auto"/>
        <w:ind w:left="708" w:right="0" w:firstLine="0"/>
        <w:jc w:val="left"/>
      </w:pPr>
      <w:bookmarkStart w:id="0" w:name="_GoBack"/>
      <w:bookmarkEnd w:id="0"/>
    </w:p>
    <w:p w:rsidR="00001077" w:rsidRDefault="00AB6CB4">
      <w:pPr>
        <w:spacing w:after="0" w:line="259" w:lineRule="auto"/>
        <w:ind w:right="0" w:firstLine="0"/>
        <w:jc w:val="left"/>
      </w:pPr>
      <w:r>
        <w:rPr>
          <w:sz w:val="18"/>
        </w:rPr>
        <w:t xml:space="preserve"> </w:t>
      </w:r>
    </w:p>
    <w:sectPr w:rsidR="00001077">
      <w:pgSz w:w="11906" w:h="16838"/>
      <w:pgMar w:top="369" w:right="785" w:bottom="794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77"/>
    <w:rsid w:val="00001077"/>
    <w:rsid w:val="00A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2D8E"/>
  <w15:docId w15:val="{BDE7C913-6857-457D-A505-DE0916F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6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1</cp:lastModifiedBy>
  <cp:revision>3</cp:revision>
  <dcterms:created xsi:type="dcterms:W3CDTF">2024-04-01T12:01:00Z</dcterms:created>
  <dcterms:modified xsi:type="dcterms:W3CDTF">2024-04-01T12:01:00Z</dcterms:modified>
</cp:coreProperties>
</file>