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A4" w:rsidRPr="00FD2D0B" w:rsidRDefault="00B07F0A" w:rsidP="00B07F0A">
      <w:pPr>
        <w:shd w:val="clear" w:color="auto" w:fill="FFFFFF"/>
        <w:spacing w:after="600" w:line="720" w:lineRule="atLeast"/>
        <w:jc w:val="both"/>
        <w:outlineLvl w:val="0"/>
        <w:rPr>
          <w:rFonts w:ascii="Rubik" w:eastAsia="Times New Roman" w:hAnsi="Rubik" w:cs="Times New Roman"/>
          <w:b/>
          <w:color w:val="303036"/>
          <w:kern w:val="36"/>
          <w:sz w:val="36"/>
          <w:szCs w:val="36"/>
          <w:lang w:eastAsia="ru-RU"/>
        </w:rPr>
      </w:pPr>
      <w:r>
        <w:rPr>
          <w:rFonts w:ascii="Rubik" w:eastAsia="Times New Roman" w:hAnsi="Rubik" w:cs="Times New Roman"/>
          <w:b/>
          <w:color w:val="303036"/>
          <w:kern w:val="36"/>
          <w:sz w:val="36"/>
          <w:szCs w:val="36"/>
          <w:lang w:eastAsia="ru-RU"/>
        </w:rPr>
        <w:t xml:space="preserve">                </w:t>
      </w:r>
      <w:r w:rsidR="00BF37A4" w:rsidRPr="00FD2D0B">
        <w:rPr>
          <w:rFonts w:ascii="Rubik" w:eastAsia="Times New Roman" w:hAnsi="Rubik" w:cs="Times New Roman"/>
          <w:b/>
          <w:color w:val="303036"/>
          <w:kern w:val="36"/>
          <w:sz w:val="36"/>
          <w:szCs w:val="36"/>
          <w:lang w:eastAsia="ru-RU"/>
        </w:rPr>
        <w:t>Ожирение у детей и подростков</w:t>
      </w:r>
    </w:p>
    <w:p w:rsidR="00BF37A4" w:rsidRPr="00FD2D0B" w:rsidRDefault="00BF37A4" w:rsidP="00B07F0A">
      <w:pPr>
        <w:shd w:val="clear" w:color="auto" w:fill="FFFFFF" w:themeFill="background1"/>
        <w:spacing w:line="360" w:lineRule="atLeast"/>
        <w:jc w:val="both"/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>Ожирение – заболевание, протекающее с нарушением обмена липидов и повышением массы тела. На сегодняшний день ожирение представляет собой актуальную проблему для всего мира, что связано с его прогрессивным распространением. Эксперты Всемирной организации здравоохранения (ВОЗ) предполагают двукратное увеличение количества лиц с ожирением к 2025 г. по сравнению с 2000 г. Более миллиарда человек на планете имеют лишнюю массу тела. 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</w:r>
      <w:r w:rsidRPr="00FD2D0B">
        <w:rPr>
          <w:rFonts w:ascii="Rubik" w:eastAsia="Times New Roman" w:hAnsi="Rubik" w:cs="Times New Roman"/>
          <w:b/>
          <w:color w:val="303036"/>
          <w:sz w:val="28"/>
          <w:szCs w:val="28"/>
          <w:lang w:eastAsia="ru-RU"/>
        </w:rPr>
        <w:t>Опасность ожирения у детей</w:t>
      </w:r>
    </w:p>
    <w:p w:rsidR="00BF37A4" w:rsidRPr="00BF37A4" w:rsidRDefault="00B07F0A" w:rsidP="00B07F0A">
      <w:pPr>
        <w:shd w:val="clear" w:color="auto" w:fill="FFFFFF" w:themeFill="background1"/>
        <w:spacing w:after="0" w:line="360" w:lineRule="atLeast"/>
        <w:jc w:val="both"/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</w:pPr>
      <w:r w:rsidRPr="00B07F0A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</w:t>
      </w:r>
      <w:r w:rsidR="00BF37A4"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По данным отдельных эпидемиологических исследований, в России распространенность избыточной массы тела у детей в разных регионах колеблется от 5,5 до 11,8 %, а ожирением страдают около 5,5 % детей, проживающих в сельской местности, и 8,5 % детей – в городах.</w:t>
      </w:r>
      <w:r w:rsidR="00BF37A4"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</w:r>
      <w:r w:rsidRPr="00B07F0A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</w:t>
      </w:r>
      <w:r w:rsidR="00BF37A4"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>Избыточная масса признана одним из основных факторов риска развития многих заболеваний, таких как сахарный диабет, артериальная гипертензия, ишемическая болезнь сердца, заболевания печени и желчного пузыря и др. </w:t>
      </w:r>
      <w:r w:rsidR="00BF37A4"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</w:r>
      <w:r w:rsidR="00BF37A4" w:rsidRPr="00BF37A4">
        <w:rPr>
          <w:rFonts w:ascii="Rubik" w:eastAsia="Times New Roman" w:hAnsi="Rubik" w:cs="Times New Roman"/>
          <w:b/>
          <w:color w:val="303036"/>
          <w:sz w:val="28"/>
          <w:szCs w:val="28"/>
          <w:lang w:eastAsia="ru-RU"/>
        </w:rPr>
        <w:t>Причины ожирения</w:t>
      </w:r>
    </w:p>
    <w:p w:rsidR="00B07F0A" w:rsidRPr="00B07F0A" w:rsidRDefault="00BF37A4" w:rsidP="00B07F0A">
      <w:pPr>
        <w:shd w:val="clear" w:color="auto" w:fill="FFFFFF" w:themeFill="background1"/>
        <w:spacing w:after="0" w:line="360" w:lineRule="atLeast"/>
        <w:jc w:val="both"/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</w:pPr>
      <w:proofErr w:type="gramStart"/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>С учетом особенностей развития современного общества среди основных факторов риска развития избыточной массы тела и ожирения можно выделить: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  <w:t>– несбалансированное питание (постоянное переедание, избыток углеводов в пище); 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  <w:t xml:space="preserve">– наследственную особенность (так, при наличии ожирения у обоих родителей </w:t>
      </w:r>
      <w:r w:rsidR="00B07F0A" w:rsidRPr="00B07F0A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</w:t>
      </w:r>
      <w:proofErr w:type="gramEnd"/>
    </w:p>
    <w:p w:rsidR="00BF37A4" w:rsidRPr="00BF37A4" w:rsidRDefault="00B07F0A" w:rsidP="00B07F0A">
      <w:pPr>
        <w:shd w:val="clear" w:color="auto" w:fill="FFFFFF" w:themeFill="background1"/>
        <w:spacing w:after="0" w:line="360" w:lineRule="atLeast"/>
        <w:jc w:val="both"/>
        <w:rPr>
          <w:rFonts w:ascii="Rubik" w:eastAsia="Times New Roman" w:hAnsi="Rubik" w:cs="Times New Roman"/>
          <w:b/>
          <w:color w:val="212529"/>
          <w:sz w:val="28"/>
          <w:szCs w:val="28"/>
          <w:lang w:eastAsia="ru-RU"/>
        </w:rPr>
      </w:pPr>
      <w:r w:rsidRPr="00B07F0A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</w:t>
      </w:r>
      <w:r w:rsidR="00BF37A4"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>– заболевания эндокринных желез; </w:t>
      </w:r>
      <w:r w:rsidR="00BF37A4"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  <w:t>– нарушение функций вентролатеральных и вентромедиальных ядер гипоталамуса (отдела мозга, отвечающего за нейроэндокринную деятельность), регулирующих аппетит и насыщение; </w:t>
      </w:r>
      <w:r w:rsidR="00BF37A4"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</w:r>
      <w:r w:rsidRPr="00B07F0A">
        <w:rPr>
          <w:rFonts w:ascii="Rubik" w:eastAsia="Times New Roman" w:hAnsi="Rubik" w:cs="Times New Roman"/>
          <w:b/>
          <w:color w:val="303036"/>
          <w:sz w:val="28"/>
          <w:szCs w:val="28"/>
          <w:lang w:eastAsia="ru-RU"/>
        </w:rPr>
        <w:t xml:space="preserve"> </w:t>
      </w:r>
      <w:r w:rsidRPr="00B07F0A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</w:t>
      </w:r>
      <w:r w:rsidR="00BF37A4" w:rsidRPr="00BF37A4">
        <w:rPr>
          <w:rFonts w:ascii="Rubik" w:eastAsia="Times New Roman" w:hAnsi="Rubik" w:cs="Times New Roman"/>
          <w:b/>
          <w:color w:val="303036"/>
          <w:sz w:val="28"/>
          <w:szCs w:val="28"/>
          <w:lang w:eastAsia="ru-RU"/>
        </w:rPr>
        <w:t>Диагностика</w:t>
      </w:r>
    </w:p>
    <w:p w:rsidR="00BF37A4" w:rsidRPr="00B07F0A" w:rsidRDefault="00BF37A4" w:rsidP="00B07F0A">
      <w:pPr>
        <w:shd w:val="clear" w:color="auto" w:fill="FFFFFF" w:themeFill="background1"/>
        <w:spacing w:after="0" w:line="360" w:lineRule="atLeast"/>
        <w:jc w:val="both"/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</w:pP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При сборе анамнеза выясняют массу тела при рождении, вид вскармливания, возраст начала ожирения, психомоторное развитие, наследственный анамнез по ожирению (включая рост и массу тела родителей), сахарному диабету 2-го типа и </w:t>
      </w:r>
      <w:proofErr w:type="gramStart"/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>сердечно-сосудистым</w:t>
      </w:r>
      <w:proofErr w:type="gramEnd"/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заболеваниям, динамику роста, наличие неврологических жалоб (головные боли, нарушение зрения).</w:t>
      </w:r>
      <w:r w:rsidR="00B07F0A" w:rsidRPr="00B07F0A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</w:t>
      </w:r>
    </w:p>
    <w:p w:rsidR="00BF37A4" w:rsidRPr="00B07F0A" w:rsidRDefault="00B07F0A" w:rsidP="00B07F0A">
      <w:pPr>
        <w:shd w:val="clear" w:color="auto" w:fill="FFFFFF" w:themeFill="background1"/>
        <w:spacing w:after="240" w:line="360" w:lineRule="atLeast"/>
        <w:jc w:val="both"/>
        <w:rPr>
          <w:rFonts w:ascii="Rubik" w:eastAsia="Times New Roman" w:hAnsi="Rubik" w:cs="Times New Roman"/>
          <w:color w:val="212529"/>
          <w:sz w:val="24"/>
          <w:szCs w:val="24"/>
          <w:lang w:val="en-US" w:eastAsia="ru-RU"/>
        </w:rPr>
      </w:pPr>
      <w:r>
        <w:rPr>
          <w:rFonts w:ascii="Rubik" w:eastAsia="Times New Roman" w:hAnsi="Rubik" w:cs="Times New Roman"/>
          <w:color w:val="212529"/>
          <w:sz w:val="24"/>
          <w:szCs w:val="24"/>
          <w:lang w:val="en-US" w:eastAsia="ru-RU"/>
        </w:rPr>
        <w:t xml:space="preserve"> </w:t>
      </w:r>
      <w:r w:rsidR="00BF37A4" w:rsidRPr="00BF37A4">
        <w:rPr>
          <w:rFonts w:ascii="Rubik" w:eastAsia="Times New Roman" w:hAnsi="Rubik" w:cs="Times New Roman"/>
          <w:b/>
          <w:color w:val="303036"/>
          <w:sz w:val="28"/>
          <w:szCs w:val="28"/>
          <w:lang w:eastAsia="ru-RU"/>
        </w:rPr>
        <w:t>Осложнения, вызванные ожирением</w:t>
      </w:r>
    </w:p>
    <w:p w:rsidR="00BF37A4" w:rsidRPr="00BF37A4" w:rsidRDefault="00BF37A4" w:rsidP="00B07F0A">
      <w:pPr>
        <w:shd w:val="clear" w:color="auto" w:fill="FFFFFF" w:themeFill="background1"/>
        <w:spacing w:after="0" w:line="360" w:lineRule="atLeast"/>
        <w:jc w:val="both"/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</w:pPr>
      <w:proofErr w:type="gramStart"/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>Ожирение влечет за собой различные проблемы со здоровьем, такие как: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  <w:t xml:space="preserve">– со стороны </w:t>
      </w:r>
      <w:proofErr w:type="spellStart"/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>сердечно-сосудистой</w:t>
      </w:r>
      <w:proofErr w:type="spellEnd"/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системы: </w:t>
      </w:r>
      <w:proofErr w:type="spellStart"/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>вегетососудистая</w:t>
      </w:r>
      <w:proofErr w:type="spellEnd"/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>дистония</w:t>
      </w:r>
      <w:proofErr w:type="spellEnd"/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(ВСД), гипертоническая болезнь;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  <w:t xml:space="preserve">– со стороны ЖКТ: нарушение функционального состояния и эвакуационной функции желудка, кишечника (склонность к запорам, признаки хронического холецистита, 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lastRenderedPageBreak/>
        <w:t>желчнокаменной болезни и циррозов, панкреатита);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  <w:t>– снижается сократительная способность миокарда (тахикардия, приглушенность сердечных тонов); 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  <w:t>– иногда развивается дыхательная недостаточность, обусловленная высоким стоянием диафрагмы;</w:t>
      </w:r>
      <w:proofErr w:type="gramEnd"/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> 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  <w:t>– эндокринные заболевания – сахарный диабет, гипоплазия щитовидной железы;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  <w:t xml:space="preserve">– раннее появление вторичных половых признаков у девочек, нарушение течения менструального цикла, что является следствием изменения </w:t>
      </w:r>
      <w:proofErr w:type="spellStart"/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>вегето-половой</w:t>
      </w:r>
      <w:proofErr w:type="spellEnd"/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и </w:t>
      </w:r>
      <w:proofErr w:type="spellStart"/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>вегетосоматической</w:t>
      </w:r>
      <w:proofErr w:type="spellEnd"/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функции яичников;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</w:r>
      <w:r w:rsidR="00B07F0A" w:rsidRPr="00B07F0A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>– значительное снижение двигательной активности, что неблагоприятно сказывается на развитии высшей нервной деятельности.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</w:r>
      <w:r w:rsidRPr="00BF37A4">
        <w:rPr>
          <w:rFonts w:ascii="Rubik" w:eastAsia="Times New Roman" w:hAnsi="Rubik" w:cs="Times New Roman"/>
          <w:b/>
          <w:color w:val="303036"/>
          <w:sz w:val="28"/>
          <w:szCs w:val="28"/>
          <w:lang w:eastAsia="ru-RU"/>
        </w:rPr>
        <w:t>Что нужно делать детям с ожирением</w:t>
      </w:r>
    </w:p>
    <w:p w:rsidR="00BF37A4" w:rsidRPr="00BF37A4" w:rsidRDefault="00BF37A4" w:rsidP="00B07F0A">
      <w:pPr>
        <w:shd w:val="clear" w:color="auto" w:fill="FFFFFF" w:themeFill="background1"/>
        <w:spacing w:after="0" w:line="360" w:lineRule="atLeast"/>
        <w:jc w:val="both"/>
        <w:rPr>
          <w:rFonts w:ascii="Rubik" w:eastAsia="Times New Roman" w:hAnsi="Rubik" w:cs="Times New Roman"/>
          <w:b/>
          <w:color w:val="212529"/>
          <w:sz w:val="24"/>
          <w:szCs w:val="24"/>
          <w:lang w:eastAsia="ru-RU"/>
        </w:rPr>
      </w:pP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>Всем детям (и подросткам) с ожирением и избыточной массой тела рекомендовано: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  <w:t>• проводить измерения роста, массы тела с расчетом ИМТ, окружности талии;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  <w:t>• оценивать характер распределения подкожной жировой клетчатки;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  <w:t>• проводить измерение артериального давления (АД) с его последующей оценкой с учетом пола, возраста и роста;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</w:r>
      <w:r w:rsidR="00B07F0A" w:rsidRPr="00B07F0A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Всем пациентам с ожирением рекомендованы биохимические исследования: </w:t>
      </w:r>
      <w:proofErr w:type="spellStart"/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>липидограмма</w:t>
      </w:r>
      <w:proofErr w:type="spellEnd"/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крови, активность ферментов печени (АЛТ и АСТ) в сочетании с УЗИ печени</w:t>
      </w:r>
      <w:r w:rsidR="00B07F0A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</w:t>
      </w:r>
      <w:r w:rsidR="00B07F0A" w:rsidRPr="00B07F0A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</w:t>
      </w:r>
      <w:r w:rsidR="00B07F0A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 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</w:r>
      <w:r w:rsidR="00B07F0A" w:rsidRPr="00B07F0A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 xml:space="preserve"> </w:t>
      </w:r>
      <w:r w:rsidRPr="00BF37A4">
        <w:rPr>
          <w:rFonts w:ascii="Rubik" w:eastAsia="Times New Roman" w:hAnsi="Rubik" w:cs="Times New Roman"/>
          <w:b/>
          <w:color w:val="303036"/>
          <w:sz w:val="28"/>
          <w:szCs w:val="28"/>
          <w:lang w:eastAsia="ru-RU"/>
        </w:rPr>
        <w:t>Заключение</w:t>
      </w:r>
    </w:p>
    <w:p w:rsidR="00BF37A4" w:rsidRPr="00BF37A4" w:rsidRDefault="00BF37A4" w:rsidP="00B07F0A">
      <w:pPr>
        <w:shd w:val="clear" w:color="auto" w:fill="FFFFFF" w:themeFill="background1"/>
        <w:spacing w:after="0" w:line="360" w:lineRule="atLeast"/>
        <w:jc w:val="both"/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</w:pP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t>Изменение образа жизни (диетотерапия, расширение физической активности и коррекция пищевого поведения) у детей и подростков с ожирением или избыточной массой тела, а также членов их семьи составляет</w:t>
      </w:r>
      <w:r w:rsidRPr="00BF37A4">
        <w:rPr>
          <w:rFonts w:ascii="Rubik" w:eastAsia="Times New Roman" w:hAnsi="Rubik" w:cs="Times New Roman"/>
          <w:color w:val="212529"/>
          <w:sz w:val="24"/>
          <w:szCs w:val="24"/>
          <w:lang w:eastAsia="ru-RU"/>
        </w:rPr>
        <w:br/>
        <w:t>основу терапии ожирения и его профилактики. Поэтому очень важно для этого прививать детям интерес к физической культуре, обеспечивать возможность заниматься спортом, а родителям – стать ребенку примером здорового образа жизни.</w:t>
      </w:r>
    </w:p>
    <w:p w:rsidR="004B7058" w:rsidRDefault="004B7058">
      <w:pPr>
        <w:rPr>
          <w:lang w:val="en-US"/>
        </w:rPr>
      </w:pPr>
    </w:p>
    <w:p w:rsidR="00B07F0A" w:rsidRPr="00B07F0A" w:rsidRDefault="00B07F0A">
      <w:r>
        <w:t xml:space="preserve">Помощник врача по общей гигиене филиала ФБУЗ «Центр гигиены и эпидемиологии в Рязанской области в Шиловском районе»                  Надежда </w:t>
      </w:r>
      <w:proofErr w:type="spellStart"/>
      <w:r>
        <w:t>Колдаева</w:t>
      </w:r>
      <w:proofErr w:type="spellEnd"/>
    </w:p>
    <w:sectPr w:rsidR="00B07F0A" w:rsidRPr="00B07F0A" w:rsidSect="0020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00E"/>
    <w:rsid w:val="0020767C"/>
    <w:rsid w:val="0035100E"/>
    <w:rsid w:val="004B7058"/>
    <w:rsid w:val="00B07F0A"/>
    <w:rsid w:val="00BF37A4"/>
    <w:rsid w:val="00FD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3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769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0754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46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1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7</cp:revision>
  <dcterms:created xsi:type="dcterms:W3CDTF">2025-02-14T12:30:00Z</dcterms:created>
  <dcterms:modified xsi:type="dcterms:W3CDTF">2025-02-28T12:40:00Z</dcterms:modified>
</cp:coreProperties>
</file>